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1049" w14:textId="77777777" w:rsidR="00E12DC7" w:rsidRPr="00E12DC7" w:rsidRDefault="00E12DC7" w:rsidP="00E12DC7">
      <w:pPr>
        <w:spacing w:after="0"/>
        <w:rPr>
          <w:b/>
          <w:bCs/>
        </w:rPr>
      </w:pPr>
      <w:r w:rsidRPr="00E12DC7">
        <w:rPr>
          <w:b/>
          <w:bCs/>
        </w:rPr>
        <w:t>December 8, 2025</w:t>
      </w:r>
    </w:p>
    <w:p w14:paraId="78E3829A" w14:textId="77777777" w:rsidR="00E12DC7" w:rsidRPr="00E12DC7" w:rsidRDefault="00E12DC7" w:rsidP="00E12DC7">
      <w:pPr>
        <w:spacing w:after="0"/>
        <w:rPr>
          <w:b/>
          <w:bCs/>
        </w:rPr>
      </w:pPr>
      <w:r w:rsidRPr="00E12DC7">
        <w:rPr>
          <w:b/>
          <w:bCs/>
        </w:rPr>
        <w:t>CUP Working Group</w:t>
      </w:r>
    </w:p>
    <w:p w14:paraId="4B165617" w14:textId="77777777" w:rsidR="00E12DC7" w:rsidRPr="00E12DC7" w:rsidRDefault="00E12DC7" w:rsidP="00E12DC7">
      <w:pPr>
        <w:spacing w:after="0"/>
        <w:rPr>
          <w:b/>
          <w:bCs/>
        </w:rPr>
      </w:pPr>
      <w:r w:rsidRPr="00E12DC7">
        <w:rPr>
          <w:b/>
          <w:bCs/>
        </w:rPr>
        <w:t>Meeting Notes</w:t>
      </w:r>
    </w:p>
    <w:p w14:paraId="32F18BD8" w14:textId="77777777" w:rsidR="00E12DC7" w:rsidRDefault="00E12DC7">
      <w:r w:rsidRPr="00E12DC7">
        <w:rPr>
          <w:b/>
          <w:bCs/>
        </w:rPr>
        <w:t>Present:</w:t>
      </w:r>
      <w:r>
        <w:t xml:space="preserve">  Renee Lauber,</w:t>
      </w:r>
      <w:r w:rsidR="00C65A8A">
        <w:t xml:space="preserve"> Executive Director,</w:t>
      </w:r>
      <w:r>
        <w:t xml:space="preserve"> DCTA; Cynthia Richson, Middleton</w:t>
      </w:r>
      <w:r w:rsidR="00C65A8A">
        <w:t xml:space="preserve"> Chair</w:t>
      </w:r>
      <w:r>
        <w:t xml:space="preserve">; Larry Beck, Albion Supervisor; Jim Schmitt, Cross Plains Plan Commission; Dawn Redford, Christiana Supervisor; Majid Allen, </w:t>
      </w:r>
      <w:r w:rsidR="00C65A8A">
        <w:t xml:space="preserve">Senior Planner, </w:t>
      </w:r>
      <w:r>
        <w:t>Dane County Planning; Stephanie Zwettler, Perry Treasurer</w:t>
      </w:r>
      <w:r w:rsidR="00C65A8A">
        <w:t>/Black Earth Clerk</w:t>
      </w:r>
      <w:r>
        <w:t>; Jim Maple, Deerfield Plan Commission; Tom Mathies, Verona Supervisor</w:t>
      </w:r>
      <w:r w:rsidR="00C65A8A">
        <w:t>/DCTA President</w:t>
      </w:r>
      <w:r w:rsidR="00D35089">
        <w:t>.</w:t>
      </w:r>
    </w:p>
    <w:p w14:paraId="778EAEFD" w14:textId="77777777" w:rsidR="00D35089" w:rsidRDefault="00B00100">
      <w:r>
        <w:t>The g</w:t>
      </w:r>
      <w:r w:rsidR="00E12DC7">
        <w:t xml:space="preserve">roup reviewed </w:t>
      </w:r>
      <w:r>
        <w:t xml:space="preserve">the </w:t>
      </w:r>
      <w:r w:rsidR="00E12DC7">
        <w:t xml:space="preserve">survey </w:t>
      </w:r>
      <w:r w:rsidR="00F42D4D">
        <w:t xml:space="preserve">on CUP issues that </w:t>
      </w:r>
      <w:r w:rsidR="00E12DC7">
        <w:t>DCTA sent out in July/August 2025.</w:t>
      </w:r>
    </w:p>
    <w:p w14:paraId="37DC11BA" w14:textId="77777777" w:rsidR="00F42D4D" w:rsidRPr="005045FA" w:rsidRDefault="00D35089">
      <w:r>
        <w:t>FP-35, FP-B, FP-1</w:t>
      </w:r>
      <w:r w:rsidR="00B00100">
        <w:t>,</w:t>
      </w:r>
      <w:r>
        <w:t xml:space="preserve"> and AT-35 zoning having </w:t>
      </w:r>
      <w:r w:rsidR="00295AA8">
        <w:t>conditional uses</w:t>
      </w:r>
      <w:r>
        <w:t xml:space="preserve"> that are not related to agricultural uses</w:t>
      </w:r>
      <w:r w:rsidR="00F42D4D">
        <w:t xml:space="preserve"> was discussed</w:t>
      </w:r>
      <w:r>
        <w:t xml:space="preserve">.  </w:t>
      </w:r>
      <w:r w:rsidR="005045FA">
        <w:t>The following conditional uses were highlighted:</w:t>
      </w:r>
      <w:r w:rsidR="00F42D4D">
        <w:rPr>
          <w:i/>
          <w:iCs/>
        </w:rPr>
        <w:t xml:space="preserve"> </w:t>
      </w:r>
    </w:p>
    <w:tbl>
      <w:tblPr>
        <w:tblStyle w:val="TableGrid"/>
        <w:tblW w:w="9625" w:type="dxa"/>
        <w:tblLook w:val="04A0" w:firstRow="1" w:lastRow="0" w:firstColumn="1" w:lastColumn="0" w:noHBand="0" w:noVBand="1"/>
      </w:tblPr>
      <w:tblGrid>
        <w:gridCol w:w="6565"/>
        <w:gridCol w:w="720"/>
        <w:gridCol w:w="810"/>
        <w:gridCol w:w="720"/>
        <w:gridCol w:w="810"/>
      </w:tblGrid>
      <w:tr w:rsidR="005045FA" w14:paraId="3E50E054" w14:textId="77777777" w:rsidTr="005045FA">
        <w:trPr>
          <w:trHeight w:val="592"/>
        </w:trPr>
        <w:tc>
          <w:tcPr>
            <w:tcW w:w="6565" w:type="dxa"/>
          </w:tcPr>
          <w:p w14:paraId="10A0E31E" w14:textId="77777777" w:rsidR="005045FA" w:rsidRDefault="005045FA">
            <w:pPr>
              <w:rPr>
                <w:i/>
                <w:iCs/>
              </w:rPr>
            </w:pPr>
          </w:p>
        </w:tc>
        <w:tc>
          <w:tcPr>
            <w:tcW w:w="720" w:type="dxa"/>
          </w:tcPr>
          <w:p w14:paraId="0735A183" w14:textId="77777777" w:rsidR="005045FA" w:rsidRDefault="005045FA">
            <w:pPr>
              <w:rPr>
                <w:i/>
                <w:iCs/>
              </w:rPr>
            </w:pPr>
            <w:r>
              <w:rPr>
                <w:i/>
                <w:iCs/>
              </w:rPr>
              <w:t>FP-1</w:t>
            </w:r>
          </w:p>
        </w:tc>
        <w:tc>
          <w:tcPr>
            <w:tcW w:w="810" w:type="dxa"/>
          </w:tcPr>
          <w:p w14:paraId="2F81C721" w14:textId="77777777" w:rsidR="005045FA" w:rsidRDefault="005045FA">
            <w:pPr>
              <w:rPr>
                <w:i/>
                <w:iCs/>
              </w:rPr>
            </w:pPr>
            <w:r>
              <w:rPr>
                <w:i/>
                <w:iCs/>
              </w:rPr>
              <w:t>FP-35</w:t>
            </w:r>
          </w:p>
        </w:tc>
        <w:tc>
          <w:tcPr>
            <w:tcW w:w="720" w:type="dxa"/>
          </w:tcPr>
          <w:p w14:paraId="20C0FABB" w14:textId="77777777" w:rsidR="005045FA" w:rsidRDefault="005045FA">
            <w:pPr>
              <w:rPr>
                <w:i/>
                <w:iCs/>
              </w:rPr>
            </w:pPr>
            <w:r>
              <w:rPr>
                <w:i/>
                <w:iCs/>
              </w:rPr>
              <w:t>FP-B</w:t>
            </w:r>
          </w:p>
        </w:tc>
        <w:tc>
          <w:tcPr>
            <w:tcW w:w="810" w:type="dxa"/>
          </w:tcPr>
          <w:p w14:paraId="265FA530" w14:textId="77777777" w:rsidR="005045FA" w:rsidRDefault="005045FA">
            <w:pPr>
              <w:rPr>
                <w:i/>
                <w:iCs/>
              </w:rPr>
            </w:pPr>
            <w:r>
              <w:rPr>
                <w:i/>
                <w:iCs/>
              </w:rPr>
              <w:t>AT-35</w:t>
            </w:r>
          </w:p>
        </w:tc>
      </w:tr>
      <w:tr w:rsidR="005045FA" w14:paraId="4CA2CB75" w14:textId="77777777" w:rsidTr="005045FA">
        <w:trPr>
          <w:trHeight w:val="1488"/>
        </w:trPr>
        <w:tc>
          <w:tcPr>
            <w:tcW w:w="6565" w:type="dxa"/>
          </w:tcPr>
          <w:p w14:paraId="3FBAD1B4" w14:textId="77777777" w:rsidR="005045FA" w:rsidRDefault="005045FA">
            <w:pPr>
              <w:rPr>
                <w:i/>
                <w:iCs/>
              </w:rPr>
            </w:pPr>
            <w:r w:rsidRPr="005045FA">
              <w:rPr>
                <w:i/>
                <w:iCs/>
              </w:rPr>
              <w:t>Transportation, communications, pipeline, electric transmission, utility, or drainage uses, not listed as a permitted use above</w:t>
            </w:r>
            <w:r>
              <w:rPr>
                <w:i/>
                <w:iCs/>
              </w:rPr>
              <w:t>.</w:t>
            </w:r>
          </w:p>
        </w:tc>
        <w:tc>
          <w:tcPr>
            <w:tcW w:w="720" w:type="dxa"/>
          </w:tcPr>
          <w:p w14:paraId="7D0BC266" w14:textId="77777777" w:rsidR="005045FA" w:rsidRDefault="005045FA">
            <w:pPr>
              <w:rPr>
                <w:i/>
                <w:iCs/>
              </w:rPr>
            </w:pPr>
            <w:r>
              <w:rPr>
                <w:i/>
                <w:iCs/>
              </w:rPr>
              <w:t>x</w:t>
            </w:r>
          </w:p>
        </w:tc>
        <w:tc>
          <w:tcPr>
            <w:tcW w:w="810" w:type="dxa"/>
          </w:tcPr>
          <w:p w14:paraId="472DC55B" w14:textId="77777777" w:rsidR="005045FA" w:rsidRDefault="005045FA">
            <w:pPr>
              <w:rPr>
                <w:i/>
                <w:iCs/>
              </w:rPr>
            </w:pPr>
            <w:r>
              <w:rPr>
                <w:i/>
                <w:iCs/>
              </w:rPr>
              <w:t>x</w:t>
            </w:r>
          </w:p>
        </w:tc>
        <w:tc>
          <w:tcPr>
            <w:tcW w:w="720" w:type="dxa"/>
          </w:tcPr>
          <w:p w14:paraId="41F9091A" w14:textId="77777777" w:rsidR="005045FA" w:rsidRDefault="005045FA">
            <w:pPr>
              <w:rPr>
                <w:i/>
                <w:iCs/>
              </w:rPr>
            </w:pPr>
            <w:r>
              <w:rPr>
                <w:i/>
                <w:iCs/>
              </w:rPr>
              <w:t>x</w:t>
            </w:r>
          </w:p>
        </w:tc>
        <w:tc>
          <w:tcPr>
            <w:tcW w:w="810" w:type="dxa"/>
          </w:tcPr>
          <w:p w14:paraId="09DF0A82" w14:textId="77777777" w:rsidR="005045FA" w:rsidRDefault="007530E8">
            <w:pPr>
              <w:rPr>
                <w:i/>
                <w:iCs/>
              </w:rPr>
            </w:pPr>
            <w:r>
              <w:rPr>
                <w:i/>
                <w:iCs/>
              </w:rPr>
              <w:t>x</w:t>
            </w:r>
          </w:p>
        </w:tc>
      </w:tr>
      <w:tr w:rsidR="005045FA" w14:paraId="27231F03" w14:textId="77777777" w:rsidTr="005045FA">
        <w:trPr>
          <w:trHeight w:val="303"/>
        </w:trPr>
        <w:tc>
          <w:tcPr>
            <w:tcW w:w="6565" w:type="dxa"/>
          </w:tcPr>
          <w:p w14:paraId="1C64241E" w14:textId="77777777" w:rsidR="005045FA" w:rsidRDefault="005045FA" w:rsidP="005045FA">
            <w:pPr>
              <w:rPr>
                <w:i/>
                <w:iCs/>
              </w:rPr>
            </w:pPr>
            <w:r>
              <w:rPr>
                <w:i/>
                <w:iCs/>
              </w:rPr>
              <w:t>Ele</w:t>
            </w:r>
            <w:r w:rsidRPr="005045FA">
              <w:rPr>
                <w:i/>
                <w:iCs/>
              </w:rPr>
              <w:t>ctric generating facilities, provided 100% of the production output of the facility is derived from renewable energy resources.</w:t>
            </w:r>
          </w:p>
        </w:tc>
        <w:tc>
          <w:tcPr>
            <w:tcW w:w="720" w:type="dxa"/>
          </w:tcPr>
          <w:p w14:paraId="48CA59DB" w14:textId="77777777" w:rsidR="005045FA" w:rsidRDefault="005045FA">
            <w:pPr>
              <w:rPr>
                <w:i/>
                <w:iCs/>
              </w:rPr>
            </w:pPr>
            <w:r>
              <w:rPr>
                <w:i/>
                <w:iCs/>
              </w:rPr>
              <w:t>x</w:t>
            </w:r>
          </w:p>
        </w:tc>
        <w:tc>
          <w:tcPr>
            <w:tcW w:w="810" w:type="dxa"/>
          </w:tcPr>
          <w:p w14:paraId="15E600ED" w14:textId="77777777" w:rsidR="005045FA" w:rsidRDefault="005045FA">
            <w:pPr>
              <w:rPr>
                <w:i/>
                <w:iCs/>
              </w:rPr>
            </w:pPr>
            <w:r>
              <w:rPr>
                <w:i/>
                <w:iCs/>
              </w:rPr>
              <w:t>x</w:t>
            </w:r>
          </w:p>
        </w:tc>
        <w:tc>
          <w:tcPr>
            <w:tcW w:w="720" w:type="dxa"/>
          </w:tcPr>
          <w:p w14:paraId="33BE39D3" w14:textId="77777777" w:rsidR="005045FA" w:rsidRDefault="005045FA">
            <w:pPr>
              <w:rPr>
                <w:i/>
                <w:iCs/>
              </w:rPr>
            </w:pPr>
            <w:r>
              <w:rPr>
                <w:i/>
                <w:iCs/>
              </w:rPr>
              <w:t>x</w:t>
            </w:r>
          </w:p>
        </w:tc>
        <w:tc>
          <w:tcPr>
            <w:tcW w:w="810" w:type="dxa"/>
          </w:tcPr>
          <w:p w14:paraId="23BD1032" w14:textId="77777777" w:rsidR="005045FA" w:rsidRDefault="007530E8">
            <w:pPr>
              <w:rPr>
                <w:i/>
                <w:iCs/>
              </w:rPr>
            </w:pPr>
            <w:r>
              <w:rPr>
                <w:i/>
                <w:iCs/>
              </w:rPr>
              <w:t>x</w:t>
            </w:r>
          </w:p>
        </w:tc>
      </w:tr>
      <w:tr w:rsidR="005045FA" w14:paraId="718DADCE" w14:textId="77777777" w:rsidTr="005045FA">
        <w:trPr>
          <w:trHeight w:val="296"/>
        </w:trPr>
        <w:tc>
          <w:tcPr>
            <w:tcW w:w="6565" w:type="dxa"/>
          </w:tcPr>
          <w:p w14:paraId="09698F8F" w14:textId="77777777" w:rsidR="005045FA" w:rsidRDefault="005045FA">
            <w:pPr>
              <w:rPr>
                <w:i/>
                <w:iCs/>
              </w:rPr>
            </w:pPr>
            <w:r w:rsidRPr="005045FA">
              <w:rPr>
                <w:i/>
                <w:iCs/>
              </w:rPr>
              <w:t>Non-metallic mineral extraction operations that comply with s. 91.46(6), Wis. Stats., s. 10.103(15) and Chapter 74.</w:t>
            </w:r>
          </w:p>
        </w:tc>
        <w:tc>
          <w:tcPr>
            <w:tcW w:w="720" w:type="dxa"/>
          </w:tcPr>
          <w:p w14:paraId="31B50FC8" w14:textId="77777777" w:rsidR="005045FA" w:rsidRDefault="005045FA">
            <w:pPr>
              <w:rPr>
                <w:i/>
                <w:iCs/>
              </w:rPr>
            </w:pPr>
          </w:p>
        </w:tc>
        <w:tc>
          <w:tcPr>
            <w:tcW w:w="810" w:type="dxa"/>
          </w:tcPr>
          <w:p w14:paraId="0A2B334B" w14:textId="77777777" w:rsidR="005045FA" w:rsidRDefault="005045FA">
            <w:pPr>
              <w:rPr>
                <w:i/>
                <w:iCs/>
              </w:rPr>
            </w:pPr>
            <w:r>
              <w:rPr>
                <w:i/>
                <w:iCs/>
              </w:rPr>
              <w:t>x</w:t>
            </w:r>
          </w:p>
        </w:tc>
        <w:tc>
          <w:tcPr>
            <w:tcW w:w="720" w:type="dxa"/>
          </w:tcPr>
          <w:p w14:paraId="365B6A3C" w14:textId="77777777" w:rsidR="005045FA" w:rsidRDefault="005045FA">
            <w:pPr>
              <w:rPr>
                <w:i/>
                <w:iCs/>
              </w:rPr>
            </w:pPr>
            <w:r>
              <w:rPr>
                <w:i/>
                <w:iCs/>
              </w:rPr>
              <w:t>x</w:t>
            </w:r>
          </w:p>
        </w:tc>
        <w:tc>
          <w:tcPr>
            <w:tcW w:w="810" w:type="dxa"/>
          </w:tcPr>
          <w:p w14:paraId="6C075D28" w14:textId="77777777" w:rsidR="005045FA" w:rsidRDefault="007530E8">
            <w:pPr>
              <w:rPr>
                <w:i/>
                <w:iCs/>
              </w:rPr>
            </w:pPr>
            <w:r>
              <w:rPr>
                <w:i/>
                <w:iCs/>
              </w:rPr>
              <w:t>x</w:t>
            </w:r>
          </w:p>
        </w:tc>
      </w:tr>
      <w:tr w:rsidR="005045FA" w14:paraId="7E9BAE6F" w14:textId="77777777" w:rsidTr="005045FA">
        <w:trPr>
          <w:trHeight w:val="303"/>
        </w:trPr>
        <w:tc>
          <w:tcPr>
            <w:tcW w:w="6565" w:type="dxa"/>
          </w:tcPr>
          <w:p w14:paraId="6351B5CA" w14:textId="77777777" w:rsidR="005045FA" w:rsidRDefault="005045FA">
            <w:pPr>
              <w:rPr>
                <w:i/>
                <w:iCs/>
              </w:rPr>
            </w:pPr>
            <w:r w:rsidRPr="005045FA">
              <w:rPr>
                <w:i/>
                <w:iCs/>
              </w:rPr>
              <w:t>Asphalt plants or ready-mix concrete plants, that comply with s. 91.46(5), Wis. Stats., for production of material to be used in construction or maintenance of public roads, to be limited in time to project duration.</w:t>
            </w:r>
          </w:p>
        </w:tc>
        <w:tc>
          <w:tcPr>
            <w:tcW w:w="720" w:type="dxa"/>
          </w:tcPr>
          <w:p w14:paraId="50B7ED42" w14:textId="77777777" w:rsidR="005045FA" w:rsidRDefault="005045FA">
            <w:pPr>
              <w:rPr>
                <w:i/>
                <w:iCs/>
              </w:rPr>
            </w:pPr>
          </w:p>
        </w:tc>
        <w:tc>
          <w:tcPr>
            <w:tcW w:w="810" w:type="dxa"/>
          </w:tcPr>
          <w:p w14:paraId="3B15E5E0" w14:textId="77777777" w:rsidR="005045FA" w:rsidRDefault="005045FA">
            <w:pPr>
              <w:rPr>
                <w:i/>
                <w:iCs/>
              </w:rPr>
            </w:pPr>
            <w:r>
              <w:rPr>
                <w:i/>
                <w:iCs/>
              </w:rPr>
              <w:t>x</w:t>
            </w:r>
          </w:p>
        </w:tc>
        <w:tc>
          <w:tcPr>
            <w:tcW w:w="720" w:type="dxa"/>
          </w:tcPr>
          <w:p w14:paraId="5220A79A" w14:textId="77777777" w:rsidR="005045FA" w:rsidRDefault="005045FA">
            <w:pPr>
              <w:rPr>
                <w:i/>
                <w:iCs/>
              </w:rPr>
            </w:pPr>
            <w:r>
              <w:rPr>
                <w:i/>
                <w:iCs/>
              </w:rPr>
              <w:t>x</w:t>
            </w:r>
          </w:p>
        </w:tc>
        <w:tc>
          <w:tcPr>
            <w:tcW w:w="810" w:type="dxa"/>
          </w:tcPr>
          <w:p w14:paraId="49CAA7FF" w14:textId="77777777" w:rsidR="005045FA" w:rsidRDefault="007530E8">
            <w:pPr>
              <w:rPr>
                <w:i/>
                <w:iCs/>
              </w:rPr>
            </w:pPr>
            <w:r>
              <w:rPr>
                <w:i/>
                <w:iCs/>
              </w:rPr>
              <w:t>x</w:t>
            </w:r>
          </w:p>
        </w:tc>
      </w:tr>
    </w:tbl>
    <w:p w14:paraId="357FDF7F" w14:textId="77777777" w:rsidR="00F42D4D" w:rsidRDefault="00F42D4D">
      <w:pPr>
        <w:rPr>
          <w:i/>
          <w:iCs/>
        </w:rPr>
      </w:pPr>
    </w:p>
    <w:p w14:paraId="05ADD8B1" w14:textId="77777777" w:rsidR="007530E8" w:rsidRDefault="00D35089">
      <w:r>
        <w:t xml:space="preserve">Other zoning districts </w:t>
      </w:r>
      <w:r w:rsidR="007530E8">
        <w:t>like Rural Industry have th</w:t>
      </w:r>
      <w:r w:rsidR="00C65A8A">
        <w:t>ese</w:t>
      </w:r>
      <w:r w:rsidR="007530E8">
        <w:t xml:space="preserve"> conditional use</w:t>
      </w:r>
      <w:r>
        <w:t xml:space="preserve"> options</w:t>
      </w:r>
      <w:r w:rsidR="007530E8">
        <w:t xml:space="preserve"> and might be a better fit as they are not designated for farmland preservation.  </w:t>
      </w:r>
      <w:r>
        <w:t xml:space="preserve"> The option of creating a new zoning category </w:t>
      </w:r>
      <w:r w:rsidR="007530E8">
        <w:t>for th</w:t>
      </w:r>
      <w:r w:rsidR="00C65A8A">
        <w:t>e</w:t>
      </w:r>
      <w:r w:rsidR="007530E8">
        <w:t>se conditional uses or directing landowners to existing zoning categories with th</w:t>
      </w:r>
      <w:r w:rsidR="00C65A8A">
        <w:t>e</w:t>
      </w:r>
      <w:r w:rsidR="007530E8">
        <w:t xml:space="preserve">se conditional uses was reviewed.  </w:t>
      </w:r>
    </w:p>
    <w:p w14:paraId="795EB1B3" w14:textId="77777777" w:rsidR="007530E8" w:rsidRDefault="007530E8">
      <w:r>
        <w:t xml:space="preserve">State procedures </w:t>
      </w:r>
      <w:r w:rsidR="00D90611">
        <w:t xml:space="preserve">and required findings of fact </w:t>
      </w:r>
      <w:r>
        <w:t>for rezoning out of a Farmland Preservation District were discussed.</w:t>
      </w:r>
    </w:p>
    <w:p w14:paraId="40D41118" w14:textId="77777777" w:rsidR="00D90611" w:rsidRDefault="00D90611">
      <w:r>
        <w:t>The ability to change farmland preservation zoning districts was discussed.  Previously</w:t>
      </w:r>
      <w:r w:rsidR="00295AA8">
        <w:t>,</w:t>
      </w:r>
      <w:r>
        <w:t xml:space="preserve"> it was determined that zoning codes can be more restrictive than the model ordinance. (Meaning conditional uses can be removed.)</w:t>
      </w:r>
    </w:p>
    <w:p w14:paraId="22A0A34E" w14:textId="77777777" w:rsidR="00E12DC7" w:rsidRDefault="007530E8">
      <w:r>
        <w:lastRenderedPageBreak/>
        <w:t>What would happen</w:t>
      </w:r>
      <w:r w:rsidR="00D90611">
        <w:t xml:space="preserve"> to existing CUPs if changes were made?  The County faced similar issues when it recently did a comprehensive rewrite of the zoning code.  There may be options to “carry forward” those parcels.  Majid will ask Corp Counsel for information.</w:t>
      </w:r>
    </w:p>
    <w:p w14:paraId="07A5BC29" w14:textId="77777777" w:rsidR="00135722" w:rsidRDefault="00135722">
      <w:r>
        <w:t>The numerous intensive land uses associated with zoning districts like Rural Industrial w</w:t>
      </w:r>
      <w:r w:rsidR="00295AA8">
        <w:t xml:space="preserve">ere </w:t>
      </w:r>
      <w:r>
        <w:t>reviewed and the practice of allowing a rezone to such a category but then requiring a deed restriction to limit the conditional uses.</w:t>
      </w:r>
    </w:p>
    <w:p w14:paraId="7C3015AE" w14:textId="77777777" w:rsidR="00135722" w:rsidRPr="00135722" w:rsidRDefault="00135722">
      <w:pPr>
        <w:rPr>
          <w:u w:val="single"/>
        </w:rPr>
      </w:pPr>
      <w:r w:rsidRPr="00135722">
        <w:rPr>
          <w:u w:val="single"/>
        </w:rPr>
        <w:t>Applications</w:t>
      </w:r>
    </w:p>
    <w:p w14:paraId="5BBCBB88" w14:textId="77777777" w:rsidR="00135722" w:rsidRPr="00135722" w:rsidRDefault="00135722" w:rsidP="00135722">
      <w:r>
        <w:t>C</w:t>
      </w:r>
      <w:r w:rsidRPr="00135722">
        <w:t>oncerns about CUP applications being changed after town review</w:t>
      </w:r>
      <w:r>
        <w:t xml:space="preserve"> were </w:t>
      </w:r>
      <w:r w:rsidR="00B00100">
        <w:t>discussed</w:t>
      </w:r>
      <w:r w:rsidRPr="00135722">
        <w:t xml:space="preserve">.  </w:t>
      </w:r>
      <w:r>
        <w:t xml:space="preserve">Ways to </w:t>
      </w:r>
      <w:r w:rsidRPr="00135722">
        <w:t>requir</w:t>
      </w:r>
      <w:r>
        <w:t>e</w:t>
      </w:r>
      <w:r w:rsidRPr="00135722">
        <w:t xml:space="preserve"> that applicants submit the same application to both the town and the county</w:t>
      </w:r>
      <w:r>
        <w:t xml:space="preserve"> and </w:t>
      </w:r>
      <w:r w:rsidR="00B00100">
        <w:t>limits on application amendments were discussed.  Opt-out towns have a limit on adding additional information.  Christiana and Deerfield approve applications as of a certain date to get at this issue.  Needs of applicants to make changes to address concerns brought to light at public hearings were discussed.  The impact of changing ZLR rules and procedures v regulating applications with an ordinance amendment (OA) were discussed.  Majid will draft an OA for the group to review.</w:t>
      </w:r>
    </w:p>
    <w:p w14:paraId="72732C0A" w14:textId="77777777" w:rsidR="00D90611" w:rsidRDefault="00D90611">
      <w:r>
        <w:t>Working group members agreed to:</w:t>
      </w:r>
    </w:p>
    <w:p w14:paraId="476D8174" w14:textId="77777777" w:rsidR="00D90611" w:rsidRDefault="00D90611" w:rsidP="00D90611">
      <w:pPr>
        <w:pStyle w:val="ListParagraph"/>
        <w:numPr>
          <w:ilvl w:val="0"/>
          <w:numId w:val="1"/>
        </w:numPr>
      </w:pPr>
      <w:r>
        <w:t xml:space="preserve">Majid will get legal review of </w:t>
      </w:r>
      <w:r w:rsidR="00B00100">
        <w:t>issues noted at the meeting and work on language for an OA to address application issues.</w:t>
      </w:r>
    </w:p>
    <w:p w14:paraId="4F0C28DD" w14:textId="77777777" w:rsidR="00D90611" w:rsidRDefault="00B00100" w:rsidP="00D90611">
      <w:pPr>
        <w:pStyle w:val="ListParagraph"/>
        <w:numPr>
          <w:ilvl w:val="0"/>
          <w:numId w:val="1"/>
        </w:numPr>
      </w:pPr>
      <w:r>
        <w:t>Everyone will r</w:t>
      </w:r>
      <w:r w:rsidR="00D90611">
        <w:t>eview the conditional uses associated with FP and AT</w:t>
      </w:r>
      <w:r w:rsidR="00135722">
        <w:t>-35</w:t>
      </w:r>
      <w:r w:rsidR="00D90611">
        <w:t xml:space="preserve"> zoning</w:t>
      </w:r>
      <w:r w:rsidR="00135722">
        <w:t xml:space="preserve"> and the </w:t>
      </w:r>
      <w:r>
        <w:t xml:space="preserve">concept of </w:t>
      </w:r>
      <w:r w:rsidR="00135722">
        <w:t>remov</w:t>
      </w:r>
      <w:r>
        <w:t>ing</w:t>
      </w:r>
      <w:r w:rsidR="00135722">
        <w:t xml:space="preserve"> nonagricultural conditional uses</w:t>
      </w:r>
    </w:p>
    <w:p w14:paraId="20888B71" w14:textId="77777777" w:rsidR="00D90611" w:rsidRDefault="00B00100" w:rsidP="00D90611">
      <w:pPr>
        <w:pStyle w:val="ListParagraph"/>
        <w:numPr>
          <w:ilvl w:val="0"/>
          <w:numId w:val="1"/>
        </w:numPr>
      </w:pPr>
      <w:r>
        <w:t>Everyone will r</w:t>
      </w:r>
      <w:r w:rsidR="00D90611">
        <w:t xml:space="preserve">eview remaining zoning districts that </w:t>
      </w:r>
      <w:r w:rsidR="00135722">
        <w:t xml:space="preserve">currently offer those </w:t>
      </w:r>
      <w:r>
        <w:t>conditional uses</w:t>
      </w:r>
      <w:r w:rsidR="00135722">
        <w:t xml:space="preserve"> (</w:t>
      </w:r>
      <w:r>
        <w:t>R</w:t>
      </w:r>
      <w:r w:rsidR="00135722">
        <w:t xml:space="preserve">ural </w:t>
      </w:r>
      <w:r>
        <w:t>I</w:t>
      </w:r>
      <w:r w:rsidR="00135722">
        <w:t>ndustrial and others) and comment on whether to recommend using those districts for that need and/or creating a new zoning district</w:t>
      </w:r>
    </w:p>
    <w:p w14:paraId="315A29C5" w14:textId="77777777" w:rsidR="00135722" w:rsidRDefault="00B00100" w:rsidP="00D90611">
      <w:pPr>
        <w:pStyle w:val="ListParagraph"/>
        <w:numPr>
          <w:ilvl w:val="0"/>
          <w:numId w:val="1"/>
        </w:numPr>
      </w:pPr>
      <w:r>
        <w:t>Renee will look for meeting dates in January</w:t>
      </w:r>
    </w:p>
    <w:sectPr w:rsidR="00135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E33A44"/>
    <w:multiLevelType w:val="hybridMultilevel"/>
    <w:tmpl w:val="1F1E2920"/>
    <w:lvl w:ilvl="0" w:tplc="7AE4043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19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7"/>
    <w:rsid w:val="000B2797"/>
    <w:rsid w:val="00135722"/>
    <w:rsid w:val="00295AA8"/>
    <w:rsid w:val="0042285E"/>
    <w:rsid w:val="005045FA"/>
    <w:rsid w:val="007530E8"/>
    <w:rsid w:val="008B28A6"/>
    <w:rsid w:val="00B00100"/>
    <w:rsid w:val="00C65A8A"/>
    <w:rsid w:val="00CB0F36"/>
    <w:rsid w:val="00D35089"/>
    <w:rsid w:val="00D90611"/>
    <w:rsid w:val="00E12DC7"/>
    <w:rsid w:val="00F42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6960"/>
  <w15:chartTrackingRefBased/>
  <w15:docId w15:val="{7A4D2540-720A-4E15-AF86-CE3262DD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D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2D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2D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2D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2D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2D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2D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2D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2D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DC7"/>
    <w:rPr>
      <w:rFonts w:eastAsiaTheme="majorEastAsia" w:cstheme="majorBidi"/>
      <w:color w:val="272727" w:themeColor="text1" w:themeTint="D8"/>
    </w:rPr>
  </w:style>
  <w:style w:type="paragraph" w:styleId="Title">
    <w:name w:val="Title"/>
    <w:basedOn w:val="Normal"/>
    <w:next w:val="Normal"/>
    <w:link w:val="TitleChar"/>
    <w:uiPriority w:val="10"/>
    <w:qFormat/>
    <w:rsid w:val="00E1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DC7"/>
    <w:pPr>
      <w:spacing w:before="160"/>
      <w:jc w:val="center"/>
    </w:pPr>
    <w:rPr>
      <w:i/>
      <w:iCs/>
      <w:color w:val="404040" w:themeColor="text1" w:themeTint="BF"/>
    </w:rPr>
  </w:style>
  <w:style w:type="character" w:customStyle="1" w:styleId="QuoteChar">
    <w:name w:val="Quote Char"/>
    <w:basedOn w:val="DefaultParagraphFont"/>
    <w:link w:val="Quote"/>
    <w:uiPriority w:val="29"/>
    <w:rsid w:val="00E12DC7"/>
    <w:rPr>
      <w:i/>
      <w:iCs/>
      <w:color w:val="404040" w:themeColor="text1" w:themeTint="BF"/>
    </w:rPr>
  </w:style>
  <w:style w:type="paragraph" w:styleId="ListParagraph">
    <w:name w:val="List Paragraph"/>
    <w:basedOn w:val="Normal"/>
    <w:uiPriority w:val="34"/>
    <w:qFormat/>
    <w:rsid w:val="00E12DC7"/>
    <w:pPr>
      <w:ind w:left="720"/>
      <w:contextualSpacing/>
    </w:pPr>
  </w:style>
  <w:style w:type="character" w:styleId="IntenseEmphasis">
    <w:name w:val="Intense Emphasis"/>
    <w:basedOn w:val="DefaultParagraphFont"/>
    <w:uiPriority w:val="21"/>
    <w:qFormat/>
    <w:rsid w:val="00E12DC7"/>
    <w:rPr>
      <w:i/>
      <w:iCs/>
      <w:color w:val="2F5496" w:themeColor="accent1" w:themeShade="BF"/>
    </w:rPr>
  </w:style>
  <w:style w:type="paragraph" w:styleId="IntenseQuote">
    <w:name w:val="Intense Quote"/>
    <w:basedOn w:val="Normal"/>
    <w:next w:val="Normal"/>
    <w:link w:val="IntenseQuoteChar"/>
    <w:uiPriority w:val="30"/>
    <w:qFormat/>
    <w:rsid w:val="00E12D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2DC7"/>
    <w:rPr>
      <w:i/>
      <w:iCs/>
      <w:color w:val="2F5496" w:themeColor="accent1" w:themeShade="BF"/>
    </w:rPr>
  </w:style>
  <w:style w:type="character" w:styleId="IntenseReference">
    <w:name w:val="Intense Reference"/>
    <w:basedOn w:val="DefaultParagraphFont"/>
    <w:uiPriority w:val="32"/>
    <w:qFormat/>
    <w:rsid w:val="00E12DC7"/>
    <w:rPr>
      <w:b/>
      <w:bCs/>
      <w:smallCaps/>
      <w:color w:val="2F5496" w:themeColor="accent1" w:themeShade="BF"/>
      <w:spacing w:val="5"/>
    </w:rPr>
  </w:style>
  <w:style w:type="table" w:styleId="TableGrid">
    <w:name w:val="Table Grid"/>
    <w:basedOn w:val="TableNormal"/>
    <w:uiPriority w:val="39"/>
    <w:rsid w:val="00F4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1AD996A562FB4F9287D30918EF8877" ma:contentTypeVersion="13" ma:contentTypeDescription="Create a new document." ma:contentTypeScope="" ma:versionID="4d3003aa4b7e1e37edb75a1bc9dd778a">
  <xsd:schema xmlns:xsd="http://www.w3.org/2001/XMLSchema" xmlns:xs="http://www.w3.org/2001/XMLSchema" xmlns:p="http://schemas.microsoft.com/office/2006/metadata/properties" xmlns:ns2="7074d1ec-1f26-4509-9863-b5ec43f08ab2" xmlns:ns3="36df1461-c961-4d62-9298-f5eb0772542d" targetNamespace="http://schemas.microsoft.com/office/2006/metadata/properties" ma:root="true" ma:fieldsID="66cddda25ba233efd85654dc137d745d" ns2:_="" ns3:_="">
    <xsd:import namespace="7074d1ec-1f26-4509-9863-b5ec43f08ab2"/>
    <xsd:import namespace="36df1461-c961-4d62-9298-f5eb077254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4d1ec-1f26-4509-9863-b5ec43f08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d09ae4-8afe-45ca-bccc-9d0cadbefb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df1461-c961-4d62-9298-f5eb077254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e7526a-4ccd-4a85-83b7-63506e81bea6}" ma:internalName="TaxCatchAll" ma:showField="CatchAllData" ma:web="36df1461-c961-4d62-9298-f5eb07725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74d1ec-1f26-4509-9863-b5ec43f08ab2">
      <Terms xmlns="http://schemas.microsoft.com/office/infopath/2007/PartnerControls"/>
    </lcf76f155ced4ddcb4097134ff3c332f>
    <TaxCatchAll xmlns="36df1461-c961-4d62-9298-f5eb0772542d" xsi:nil="true"/>
  </documentManagement>
</p:properties>
</file>

<file path=customXml/itemProps1.xml><?xml version="1.0" encoding="utf-8"?>
<ds:datastoreItem xmlns:ds="http://schemas.openxmlformats.org/officeDocument/2006/customXml" ds:itemID="{2B31E7A0-7F07-439D-B7EE-577D7DAD7A64}"/>
</file>

<file path=customXml/itemProps2.xml><?xml version="1.0" encoding="utf-8"?>
<ds:datastoreItem xmlns:ds="http://schemas.openxmlformats.org/officeDocument/2006/customXml" ds:itemID="{87299B01-AFE4-4E1F-99CE-A6BA578704D5}"/>
</file>

<file path=customXml/itemProps3.xml><?xml version="1.0" encoding="utf-8"?>
<ds:datastoreItem xmlns:ds="http://schemas.openxmlformats.org/officeDocument/2006/customXml" ds:itemID="{A84D5ED1-4EEA-41D2-A522-EB936A96DACF}"/>
</file>

<file path=docProps/app.xml><?xml version="1.0" encoding="utf-8"?>
<Properties xmlns="http://schemas.openxmlformats.org/officeDocument/2006/extended-properties" xmlns:vt="http://schemas.openxmlformats.org/officeDocument/2006/docPropsVTypes">
  <Template>Normal</Template>
  <TotalTime>2</TotalTime>
  <Pages>2</Pages>
  <Words>570</Words>
  <Characters>3143</Characters>
  <Application>Microsoft Office Word</Application>
  <DocSecurity>0</DocSecurity>
  <Lines>76</Lines>
  <Paragraphs>40</Paragraphs>
  <ScaleCrop>false</ScaleCrop>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Lauber</dc:creator>
  <cp:keywords/>
  <dc:description/>
  <cp:lastModifiedBy>Patty Hillebrand</cp:lastModifiedBy>
  <cp:revision>3</cp:revision>
  <dcterms:created xsi:type="dcterms:W3CDTF">2026-01-06T17:54:00Z</dcterms:created>
  <dcterms:modified xsi:type="dcterms:W3CDTF">2026-01-06T17:55:00Z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0x0101005F1AD996A562FB4F9287D30918EF8877</vt:lpwstr>
  </property>
</Properties>
</file>